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500"/>
      </w:tblGrid>
      <w:tr w:rsidR="00C9646E" w14:paraId="76CE4AFB" w14:textId="77777777" w:rsidTr="003D7952">
        <w:tc>
          <w:tcPr>
            <w:tcW w:w="10349" w:type="dxa"/>
            <w:gridSpan w:val="2"/>
          </w:tcPr>
          <w:p w14:paraId="13928393" w14:textId="16CE3CD0" w:rsidR="00C9646E" w:rsidRPr="004C3CB6" w:rsidRDefault="007B1BFC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52691F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775AA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5322FB">
        <w:tc>
          <w:tcPr>
            <w:tcW w:w="1849" w:type="dxa"/>
          </w:tcPr>
          <w:p w14:paraId="631F824E" w14:textId="13ACED37" w:rsidR="00C9646E" w:rsidRDefault="008324D8">
            <w:r w:rsidRPr="008324D8">
              <w:rPr>
                <w:rFonts w:cstheme="minorHAnsi"/>
                <w:b/>
                <w:lang w:val="en-US"/>
              </w:rPr>
              <w:t>RT-MAg-00</w:t>
            </w:r>
            <w:r w:rsidR="002665C0"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8500" w:type="dxa"/>
          </w:tcPr>
          <w:p w14:paraId="4AD6E5BE" w14:textId="1A6FF550" w:rsidR="00C9646E" w:rsidRPr="002550C7" w:rsidRDefault="00C9646E" w:rsidP="004C3CB6">
            <w:pPr>
              <w:ind w:left="-110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 xml:space="preserve">– </w:t>
            </w:r>
            <w:r w:rsidR="002550C7" w:rsidRPr="002550C7">
              <w:rPr>
                <w:rFonts w:cstheme="minorHAnsi"/>
                <w:lang w:val="pl-PL"/>
              </w:rPr>
              <w:t>Zestaw do oznaczania zawartości c</w:t>
            </w:r>
            <w:r w:rsidR="002550C7">
              <w:rPr>
                <w:rFonts w:cstheme="minorHAnsi"/>
                <w:lang w:val="pl-PL"/>
              </w:rPr>
              <w:t>ząstek drobnych w kruszywie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2"/>
          </w:tcPr>
          <w:p w14:paraId="264D734E" w14:textId="77777777" w:rsidR="004C3CB6" w:rsidRPr="002550C7" w:rsidRDefault="004C3CB6">
            <w:pPr>
              <w:rPr>
                <w:rFonts w:cstheme="minorHAnsi"/>
                <w:lang w:val="pl-PL"/>
              </w:rPr>
            </w:pPr>
          </w:p>
        </w:tc>
      </w:tr>
      <w:tr w:rsidR="00775AA6" w14:paraId="3882208E" w14:textId="77777777" w:rsidTr="003D7952">
        <w:tc>
          <w:tcPr>
            <w:tcW w:w="10349" w:type="dxa"/>
            <w:gridSpan w:val="2"/>
          </w:tcPr>
          <w:p w14:paraId="3A0A4EE9" w14:textId="662CFA90" w:rsidR="00775AA6" w:rsidRPr="00AB5203" w:rsidRDefault="00775AA6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A</w:t>
            </w:r>
            <w:r w:rsidR="002550C7">
              <w:rPr>
                <w:b/>
                <w:sz w:val="24"/>
                <w:u w:val="single"/>
                <w:lang w:val="en-US"/>
              </w:rPr>
              <w:t>kcesoria</w:t>
            </w:r>
            <w:proofErr w:type="spellEnd"/>
            <w:r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775AA6" w14:paraId="1CBDD7E7" w14:textId="77777777" w:rsidTr="005322FB">
        <w:tc>
          <w:tcPr>
            <w:tcW w:w="1849" w:type="dxa"/>
          </w:tcPr>
          <w:p w14:paraId="7B17B72F" w14:textId="56AE067B" w:rsidR="00775AA6" w:rsidRDefault="00775AA6" w:rsidP="000B6AC1">
            <w:r w:rsidRPr="008324D8">
              <w:rPr>
                <w:rFonts w:cstheme="minorHAnsi"/>
                <w:b/>
                <w:lang w:val="en-US"/>
              </w:rPr>
              <w:t>R</w:t>
            </w:r>
            <w:r w:rsidR="00704354">
              <w:rPr>
                <w:rFonts w:cstheme="minorHAnsi"/>
                <w:b/>
                <w:lang w:val="en-US"/>
              </w:rPr>
              <w:t>D</w:t>
            </w:r>
            <w:r w:rsidRPr="008324D8">
              <w:rPr>
                <w:rFonts w:cstheme="minorHAnsi"/>
                <w:b/>
                <w:lang w:val="en-US"/>
              </w:rPr>
              <w:t>-MAg-00</w:t>
            </w:r>
            <w:r>
              <w:rPr>
                <w:rFonts w:cstheme="minorHAnsi"/>
                <w:b/>
                <w:lang w:val="en-US"/>
              </w:rPr>
              <w:t>7/</w:t>
            </w:r>
            <w:proofErr w:type="spellStart"/>
            <w:r w:rsidR="005322FB">
              <w:rPr>
                <w:rFonts w:cstheme="minorHAnsi"/>
                <w:b/>
                <w:lang w:val="en-US"/>
              </w:rPr>
              <w:t>z</w:t>
            </w:r>
            <w:r>
              <w:rPr>
                <w:rFonts w:cstheme="minorHAnsi"/>
                <w:b/>
                <w:lang w:val="en-US"/>
              </w:rPr>
              <w:t>K</w:t>
            </w:r>
            <w:proofErr w:type="spellEnd"/>
          </w:p>
        </w:tc>
        <w:tc>
          <w:tcPr>
            <w:tcW w:w="8500" w:type="dxa"/>
          </w:tcPr>
          <w:p w14:paraId="57DB8D05" w14:textId="66955175" w:rsidR="00775AA6" w:rsidRPr="00C9646E" w:rsidRDefault="00775AA6" w:rsidP="000B6AC1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Pr="00775AA6">
              <w:rPr>
                <w:rFonts w:cstheme="minorHAnsi"/>
                <w:lang w:val="en-US"/>
              </w:rPr>
              <w:t>Kaolinit</w:t>
            </w:r>
            <w:proofErr w:type="spellEnd"/>
            <w:r>
              <w:rPr>
                <w:rFonts w:cstheme="minorHAnsi"/>
                <w:lang w:val="en-US"/>
              </w:rPr>
              <w:t>,</w:t>
            </w:r>
            <w:r w:rsidRPr="00775AA6">
              <w:rPr>
                <w:rFonts w:cstheme="minorHAnsi"/>
                <w:lang w:val="en-US"/>
              </w:rPr>
              <w:t xml:space="preserve"> 1000 g</w:t>
            </w:r>
          </w:p>
        </w:tc>
      </w:tr>
      <w:tr w:rsidR="00775AA6" w14:paraId="0D221807" w14:textId="77777777" w:rsidTr="005322FB">
        <w:tc>
          <w:tcPr>
            <w:tcW w:w="1849" w:type="dxa"/>
          </w:tcPr>
          <w:p w14:paraId="3F581E2E" w14:textId="6D3B8222" w:rsidR="00775AA6" w:rsidRPr="008324D8" w:rsidRDefault="00775AA6" w:rsidP="000B6AC1">
            <w:pPr>
              <w:rPr>
                <w:rFonts w:cstheme="minorHAnsi"/>
                <w:b/>
                <w:lang w:val="en-US"/>
              </w:rPr>
            </w:pPr>
            <w:r w:rsidRPr="008324D8">
              <w:rPr>
                <w:rFonts w:cstheme="minorHAnsi"/>
                <w:b/>
                <w:lang w:val="en-US"/>
              </w:rPr>
              <w:t>R</w:t>
            </w:r>
            <w:r w:rsidR="00704354">
              <w:rPr>
                <w:rFonts w:cstheme="minorHAnsi"/>
                <w:b/>
                <w:lang w:val="en-US"/>
              </w:rPr>
              <w:t>D</w:t>
            </w:r>
            <w:r w:rsidRPr="008324D8">
              <w:rPr>
                <w:rFonts w:cstheme="minorHAnsi"/>
                <w:b/>
                <w:lang w:val="en-US"/>
              </w:rPr>
              <w:t>-MAg-00</w:t>
            </w:r>
            <w:r>
              <w:rPr>
                <w:rFonts w:cstheme="minorHAnsi"/>
                <w:b/>
                <w:lang w:val="en-US"/>
              </w:rPr>
              <w:t>7/</w:t>
            </w:r>
            <w:proofErr w:type="spellStart"/>
            <w:r w:rsidR="005322FB">
              <w:rPr>
                <w:rFonts w:cstheme="minorHAnsi"/>
                <w:b/>
                <w:lang w:val="en-US"/>
              </w:rPr>
              <w:t>z</w:t>
            </w:r>
            <w:r>
              <w:rPr>
                <w:rFonts w:cstheme="minorHAnsi"/>
                <w:b/>
                <w:lang w:val="en-US"/>
              </w:rPr>
              <w:t>M</w:t>
            </w:r>
            <w:proofErr w:type="spellEnd"/>
          </w:p>
        </w:tc>
        <w:tc>
          <w:tcPr>
            <w:tcW w:w="8500" w:type="dxa"/>
          </w:tcPr>
          <w:p w14:paraId="328AAD2B" w14:textId="0725FE7C" w:rsidR="00775AA6" w:rsidRPr="00AB5203" w:rsidRDefault="00775AA6" w:rsidP="000B6AC1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2550C7" w:rsidRPr="002550C7">
              <w:rPr>
                <w:rFonts w:cstheme="minorHAnsi"/>
                <w:lang w:val="en-US"/>
              </w:rPr>
              <w:t>Błękit</w:t>
            </w:r>
            <w:proofErr w:type="spellEnd"/>
            <w:r w:rsidR="002550C7" w:rsidRPr="002550C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550C7" w:rsidRPr="002550C7">
              <w:rPr>
                <w:rFonts w:cstheme="minorHAnsi"/>
                <w:lang w:val="en-US"/>
              </w:rPr>
              <w:t>metylenowy</w:t>
            </w:r>
            <w:proofErr w:type="spellEnd"/>
            <w:r>
              <w:rPr>
                <w:rFonts w:cstheme="minorHAnsi"/>
                <w:lang w:val="en-US"/>
              </w:rPr>
              <w:t>,</w:t>
            </w:r>
            <w:r w:rsidRPr="00775AA6">
              <w:rPr>
                <w:rFonts w:cstheme="minorHAnsi"/>
                <w:lang w:val="en-US"/>
              </w:rPr>
              <w:t xml:space="preserve"> 250 ml</w:t>
            </w:r>
          </w:p>
        </w:tc>
      </w:tr>
      <w:tr w:rsidR="00775AA6" w14:paraId="6EF253C3" w14:textId="77777777" w:rsidTr="005322FB">
        <w:tc>
          <w:tcPr>
            <w:tcW w:w="1849" w:type="dxa"/>
          </w:tcPr>
          <w:p w14:paraId="303F8130" w14:textId="1EFC504F" w:rsidR="00775AA6" w:rsidRPr="008324D8" w:rsidRDefault="00775AA6" w:rsidP="00775AA6">
            <w:pPr>
              <w:rPr>
                <w:rFonts w:cstheme="minorHAnsi"/>
                <w:b/>
                <w:lang w:val="en-US"/>
              </w:rPr>
            </w:pPr>
            <w:r w:rsidRPr="008324D8">
              <w:rPr>
                <w:rFonts w:cstheme="minorHAnsi"/>
                <w:b/>
                <w:lang w:val="en-US"/>
              </w:rPr>
              <w:t>R</w:t>
            </w:r>
            <w:r w:rsidR="00704354">
              <w:rPr>
                <w:rFonts w:cstheme="minorHAnsi"/>
                <w:b/>
                <w:lang w:val="en-US"/>
              </w:rPr>
              <w:t>D</w:t>
            </w:r>
            <w:r w:rsidRPr="008324D8">
              <w:rPr>
                <w:rFonts w:cstheme="minorHAnsi"/>
                <w:b/>
                <w:lang w:val="en-US"/>
              </w:rPr>
              <w:t>-MAg-00</w:t>
            </w:r>
            <w:r>
              <w:rPr>
                <w:rFonts w:cstheme="minorHAnsi"/>
                <w:b/>
                <w:lang w:val="en-US"/>
              </w:rPr>
              <w:t>7/</w:t>
            </w:r>
            <w:r w:rsidR="005322FB">
              <w:rPr>
                <w:rFonts w:cstheme="minorHAnsi"/>
                <w:b/>
                <w:lang w:val="en-US"/>
              </w:rPr>
              <w:t>z</w:t>
            </w:r>
            <w:r>
              <w:rPr>
                <w:rFonts w:cstheme="minorHAnsi"/>
                <w:b/>
                <w:lang w:val="en-US"/>
              </w:rPr>
              <w:t>F</w:t>
            </w:r>
          </w:p>
        </w:tc>
        <w:tc>
          <w:tcPr>
            <w:tcW w:w="8500" w:type="dxa"/>
          </w:tcPr>
          <w:p w14:paraId="0F4BEDE6" w14:textId="390A3E60" w:rsidR="00775AA6" w:rsidRPr="002550C7" w:rsidRDefault="00775AA6" w:rsidP="00775AA6">
            <w:pPr>
              <w:ind w:left="-110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>– Filt</w:t>
            </w:r>
            <w:r w:rsidR="002550C7" w:rsidRPr="002550C7">
              <w:rPr>
                <w:rFonts w:cstheme="minorHAnsi"/>
                <w:lang w:val="pl-PL"/>
              </w:rPr>
              <w:t xml:space="preserve">ry papierowe </w:t>
            </w:r>
            <w:r w:rsidRPr="002550C7">
              <w:rPr>
                <w:rFonts w:cstheme="minorHAnsi"/>
                <w:lang w:val="pl-PL"/>
              </w:rPr>
              <w:t>(p</w:t>
            </w:r>
            <w:r w:rsidR="002550C7" w:rsidRPr="002550C7">
              <w:rPr>
                <w:rFonts w:cstheme="minorHAnsi"/>
                <w:lang w:val="pl-PL"/>
              </w:rPr>
              <w:t>akowane po</w:t>
            </w:r>
            <w:r w:rsidRPr="002550C7">
              <w:rPr>
                <w:rFonts w:cstheme="minorHAnsi"/>
                <w:lang w:val="pl-PL"/>
              </w:rPr>
              <w:t xml:space="preserve"> 100 </w:t>
            </w:r>
            <w:r w:rsidR="002550C7" w:rsidRPr="002550C7">
              <w:rPr>
                <w:rFonts w:cstheme="minorHAnsi"/>
                <w:lang w:val="pl-PL"/>
              </w:rPr>
              <w:t>szt.</w:t>
            </w:r>
            <w:r w:rsidRPr="002550C7">
              <w:rPr>
                <w:rFonts w:cstheme="minorHAnsi"/>
                <w:lang w:val="pl-PL"/>
              </w:rPr>
              <w:t>)</w:t>
            </w:r>
          </w:p>
        </w:tc>
      </w:tr>
      <w:tr w:rsidR="00775AA6" w14:paraId="44C20099" w14:textId="77777777" w:rsidTr="003D7952">
        <w:tc>
          <w:tcPr>
            <w:tcW w:w="10349" w:type="dxa"/>
            <w:gridSpan w:val="2"/>
          </w:tcPr>
          <w:p w14:paraId="54546560" w14:textId="77777777" w:rsidR="00775AA6" w:rsidRPr="002550C7" w:rsidRDefault="00775AA6" w:rsidP="00775AA6">
            <w:pPr>
              <w:rPr>
                <w:rFonts w:cstheme="minorHAnsi"/>
                <w:lang w:val="pl-PL"/>
              </w:rPr>
            </w:pPr>
          </w:p>
        </w:tc>
      </w:tr>
      <w:tr w:rsidR="00775AA6" w14:paraId="4B5B6506" w14:textId="77777777" w:rsidTr="003D7952">
        <w:tc>
          <w:tcPr>
            <w:tcW w:w="10349" w:type="dxa"/>
            <w:gridSpan w:val="2"/>
          </w:tcPr>
          <w:p w14:paraId="395D4CE3" w14:textId="150DC1EB" w:rsidR="00775AA6" w:rsidRPr="004C3CB6" w:rsidRDefault="002550C7" w:rsidP="00775AA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775AA6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775AA6" w14:paraId="4AB106A3" w14:textId="77777777" w:rsidTr="003D7952">
        <w:tc>
          <w:tcPr>
            <w:tcW w:w="10349" w:type="dxa"/>
            <w:gridSpan w:val="2"/>
          </w:tcPr>
          <w:p w14:paraId="71D670C4" w14:textId="04A8535C" w:rsidR="00775AA6" w:rsidRPr="00AB5203" w:rsidRDefault="00775AA6" w:rsidP="00775AA6">
            <w:pPr>
              <w:rPr>
                <w:rFonts w:cstheme="minorHAnsi"/>
                <w:lang w:val="en-US"/>
              </w:rPr>
            </w:pPr>
            <w:r w:rsidRPr="008324D8">
              <w:rPr>
                <w:lang w:val="de-DE"/>
              </w:rPr>
              <w:t>EN 93</w:t>
            </w:r>
            <w:r>
              <w:rPr>
                <w:lang w:val="de-DE"/>
              </w:rPr>
              <w:t>3-9</w:t>
            </w:r>
          </w:p>
        </w:tc>
      </w:tr>
      <w:tr w:rsidR="00775AA6" w14:paraId="66460C65" w14:textId="77777777" w:rsidTr="003D7952">
        <w:tc>
          <w:tcPr>
            <w:tcW w:w="10349" w:type="dxa"/>
            <w:gridSpan w:val="2"/>
          </w:tcPr>
          <w:p w14:paraId="06A4405E" w14:textId="77777777" w:rsidR="00775AA6" w:rsidRPr="00A61B86" w:rsidRDefault="00775AA6" w:rsidP="00775AA6">
            <w:pPr>
              <w:rPr>
                <w:lang w:val="de-DE"/>
              </w:rPr>
            </w:pPr>
          </w:p>
        </w:tc>
      </w:tr>
      <w:tr w:rsidR="00775AA6" w14:paraId="46BB0194" w14:textId="77777777" w:rsidTr="00D963BB">
        <w:tc>
          <w:tcPr>
            <w:tcW w:w="10349" w:type="dxa"/>
            <w:gridSpan w:val="2"/>
            <w:vAlign w:val="center"/>
          </w:tcPr>
          <w:p w14:paraId="5CE48B25" w14:textId="4B800793" w:rsidR="00775AA6" w:rsidRPr="00A61B86" w:rsidRDefault="00775AA6" w:rsidP="00775AA6">
            <w:pPr>
              <w:jc w:val="center"/>
              <w:rPr>
                <w:lang w:val="de-DE"/>
              </w:rPr>
            </w:pPr>
            <w:r w:rsidRPr="002665C0">
              <w:rPr>
                <w:noProof/>
                <w:lang w:val="de-DE"/>
              </w:rPr>
              <w:drawing>
                <wp:inline distT="0" distB="0" distL="0" distR="0" wp14:anchorId="09AF7CF4" wp14:editId="3AB969BA">
                  <wp:extent cx="2444262" cy="2833397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83" cy="284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AA6" w14:paraId="6C228FDA" w14:textId="77777777" w:rsidTr="003D7952">
        <w:tc>
          <w:tcPr>
            <w:tcW w:w="10349" w:type="dxa"/>
            <w:gridSpan w:val="2"/>
          </w:tcPr>
          <w:p w14:paraId="192CF0E7" w14:textId="77777777" w:rsidR="00775AA6" w:rsidRPr="00A61B86" w:rsidRDefault="00775AA6" w:rsidP="00775AA6">
            <w:pPr>
              <w:rPr>
                <w:lang w:val="de-DE"/>
              </w:rPr>
            </w:pPr>
          </w:p>
        </w:tc>
      </w:tr>
      <w:tr w:rsidR="00775AA6" w14:paraId="61CCB2F8" w14:textId="77777777" w:rsidTr="003D7952">
        <w:tc>
          <w:tcPr>
            <w:tcW w:w="10349" w:type="dxa"/>
            <w:gridSpan w:val="2"/>
          </w:tcPr>
          <w:p w14:paraId="382AECD7" w14:textId="089A782C" w:rsidR="00775AA6" w:rsidRPr="00AB5203" w:rsidRDefault="002550C7" w:rsidP="00775AA6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775AA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775AA6" w14:paraId="6BE23FB9" w14:textId="77777777" w:rsidTr="001E70CE">
        <w:tc>
          <w:tcPr>
            <w:tcW w:w="10349" w:type="dxa"/>
            <w:gridSpan w:val="2"/>
          </w:tcPr>
          <w:p w14:paraId="2FF9545B" w14:textId="782BC628" w:rsidR="00775AA6" w:rsidRDefault="002550C7" w:rsidP="00775AA6">
            <w:pPr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 xml:space="preserve">Zestaw RT-MAg-007 służy do oznaczania zawartości </w:t>
            </w:r>
            <w:r>
              <w:rPr>
                <w:rFonts w:cstheme="minorHAnsi"/>
                <w:lang w:val="pl-PL"/>
              </w:rPr>
              <w:t>cząstek drobnych w kruszywie</w:t>
            </w:r>
            <w:r w:rsidRPr="002550C7">
              <w:rPr>
                <w:rFonts w:cstheme="minorHAnsi"/>
                <w:lang w:val="pl-PL"/>
              </w:rPr>
              <w:t>.</w:t>
            </w:r>
          </w:p>
          <w:p w14:paraId="290D7183" w14:textId="77777777" w:rsidR="002550C7" w:rsidRPr="002550C7" w:rsidRDefault="002550C7" w:rsidP="00775AA6">
            <w:pPr>
              <w:jc w:val="both"/>
              <w:rPr>
                <w:rFonts w:cstheme="minorHAnsi"/>
                <w:lang w:val="pl-PL"/>
              </w:rPr>
            </w:pPr>
          </w:p>
          <w:p w14:paraId="0F0FF5D5" w14:textId="194EDEBC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 xml:space="preserve">Zestaw </w:t>
            </w:r>
            <w:r>
              <w:rPr>
                <w:rFonts w:cstheme="minorHAnsi"/>
                <w:lang w:val="pl-PL"/>
              </w:rPr>
              <w:t xml:space="preserve">do testów </w:t>
            </w:r>
            <w:r w:rsidRPr="002550C7">
              <w:rPr>
                <w:rFonts w:cstheme="minorHAnsi"/>
                <w:lang w:val="pl-PL"/>
              </w:rPr>
              <w:t>błękit</w:t>
            </w:r>
            <w:r>
              <w:rPr>
                <w:rFonts w:cstheme="minorHAnsi"/>
                <w:lang w:val="pl-PL"/>
              </w:rPr>
              <w:t>kiem</w:t>
            </w:r>
            <w:r w:rsidRPr="002550C7">
              <w:rPr>
                <w:rFonts w:cstheme="minorHAnsi"/>
                <w:lang w:val="pl-PL"/>
              </w:rPr>
              <w:t xml:space="preserve"> metylenow</w:t>
            </w:r>
            <w:r>
              <w:rPr>
                <w:rFonts w:cstheme="minorHAnsi"/>
                <w:lang w:val="pl-PL"/>
              </w:rPr>
              <w:t>ym</w:t>
            </w:r>
            <w:r w:rsidRPr="002550C7">
              <w:rPr>
                <w:rFonts w:cstheme="minorHAnsi"/>
                <w:lang w:val="pl-PL"/>
              </w:rPr>
              <w:t xml:space="preserve"> składa się z:</w:t>
            </w:r>
          </w:p>
          <w:p w14:paraId="7256ABEA" w14:textId="77777777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 xml:space="preserve">- Mieszadło laboratoryjne podwieszane z elektroniczną regulacją prędkości do 2000 </w:t>
            </w:r>
            <w:proofErr w:type="spellStart"/>
            <w:r w:rsidRPr="002550C7">
              <w:rPr>
                <w:rFonts w:cstheme="minorHAnsi"/>
                <w:lang w:val="pl-PL"/>
              </w:rPr>
              <w:t>obr</w:t>
            </w:r>
            <w:proofErr w:type="spellEnd"/>
            <w:r w:rsidRPr="002550C7">
              <w:rPr>
                <w:rFonts w:cstheme="minorHAnsi"/>
                <w:lang w:val="pl-PL"/>
              </w:rPr>
              <w:t>./min</w:t>
            </w:r>
          </w:p>
          <w:p w14:paraId="020E316A" w14:textId="77777777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>- Mieszadło śmigłowe, Ø 75 mm</w:t>
            </w:r>
          </w:p>
          <w:p w14:paraId="758A574B" w14:textId="77777777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>- Biureta szklana z kranikiem, 50 cm³</w:t>
            </w:r>
          </w:p>
          <w:p w14:paraId="5743C365" w14:textId="77777777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>- Stojak biurety i uchwyt</w:t>
            </w:r>
          </w:p>
          <w:p w14:paraId="5DABE0DE" w14:textId="77777777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>- Pręt szklany, Ø 8 x 300 mm</w:t>
            </w:r>
          </w:p>
          <w:p w14:paraId="25DE830F" w14:textId="77777777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 xml:space="preserve">- Zlewka ze szkła </w:t>
            </w:r>
            <w:proofErr w:type="spellStart"/>
            <w:r w:rsidRPr="002550C7">
              <w:rPr>
                <w:rFonts w:cstheme="minorHAnsi"/>
                <w:lang w:val="pl-PL"/>
              </w:rPr>
              <w:t>borokrzemianowego</w:t>
            </w:r>
            <w:proofErr w:type="spellEnd"/>
            <w:r w:rsidRPr="002550C7">
              <w:rPr>
                <w:rFonts w:cstheme="minorHAnsi"/>
                <w:lang w:val="pl-PL"/>
              </w:rPr>
              <w:t>, 1000 ml.</w:t>
            </w:r>
          </w:p>
          <w:p w14:paraId="6456AB31" w14:textId="77777777" w:rsidR="002550C7" w:rsidRPr="002550C7" w:rsidRDefault="002550C7" w:rsidP="002550C7">
            <w:pPr>
              <w:spacing w:after="0" w:line="240" w:lineRule="auto"/>
              <w:jc w:val="both"/>
              <w:rPr>
                <w:rFonts w:cstheme="minorHAnsi"/>
                <w:lang w:val="pl-PL"/>
              </w:rPr>
            </w:pPr>
          </w:p>
          <w:p w14:paraId="3DC2397B" w14:textId="6BF26159" w:rsidR="00775AA6" w:rsidRPr="002550C7" w:rsidRDefault="002550C7" w:rsidP="002550C7">
            <w:pPr>
              <w:jc w:val="both"/>
              <w:rPr>
                <w:rFonts w:cstheme="minorHAnsi"/>
                <w:lang w:val="pl-PL"/>
              </w:rPr>
            </w:pPr>
            <w:r w:rsidRPr="002550C7">
              <w:rPr>
                <w:rFonts w:cstheme="minorHAnsi"/>
                <w:lang w:val="pl-PL"/>
              </w:rPr>
              <w:t>Bibułę filtracyjną, błękit metylenowy i kaolinit należy zamawiać oddzielnie.</w:t>
            </w:r>
          </w:p>
          <w:p w14:paraId="556C82BE" w14:textId="29D9F485" w:rsidR="00775AA6" w:rsidRDefault="00775AA6" w:rsidP="00775AA6">
            <w:pPr>
              <w:jc w:val="both"/>
              <w:rPr>
                <w:rFonts w:cstheme="minorHAnsi"/>
                <w:lang w:val="en-US"/>
              </w:rPr>
            </w:pPr>
            <w:proofErr w:type="spellStart"/>
            <w:r w:rsidRPr="00066D31">
              <w:rPr>
                <w:rFonts w:cstheme="minorHAnsi"/>
                <w:lang w:val="en-US"/>
              </w:rPr>
              <w:t>W</w:t>
            </w:r>
            <w:r w:rsidR="002550C7">
              <w:rPr>
                <w:rFonts w:cstheme="minorHAnsi"/>
                <w:lang w:val="en-US"/>
              </w:rPr>
              <w:t>aga</w:t>
            </w:r>
            <w:proofErr w:type="spellEnd"/>
            <w:r>
              <w:rPr>
                <w:rFonts w:cstheme="minorHAnsi"/>
                <w:lang w:val="en-US"/>
              </w:rPr>
              <w:t xml:space="preserve"> (</w:t>
            </w:r>
            <w:proofErr w:type="spellStart"/>
            <w:r w:rsidR="002550C7">
              <w:rPr>
                <w:rFonts w:cstheme="minorHAnsi"/>
                <w:lang w:val="en-US"/>
              </w:rPr>
              <w:t>przybliżona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  <w:r w:rsidRPr="00066D31">
              <w:rPr>
                <w:rFonts w:cstheme="minorHAnsi"/>
                <w:lang w:val="en-US"/>
              </w:rPr>
              <w:t xml:space="preserve">: </w:t>
            </w:r>
            <w:r>
              <w:rPr>
                <w:rFonts w:cstheme="minorHAnsi"/>
                <w:lang w:val="en-US"/>
              </w:rPr>
              <w:t>10</w:t>
            </w:r>
            <w:r w:rsidRPr="00066D31">
              <w:rPr>
                <w:rFonts w:cstheme="minorHAnsi"/>
                <w:lang w:val="en-US"/>
              </w:rPr>
              <w:t xml:space="preserve"> kg.</w:t>
            </w:r>
          </w:p>
          <w:p w14:paraId="7475F26D" w14:textId="246BC4E0" w:rsidR="00775AA6" w:rsidRPr="00AB5203" w:rsidRDefault="00775AA6" w:rsidP="00775AA6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004302E4" w14:textId="77777777" w:rsidR="00D963BB" w:rsidRDefault="00D963BB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3898D0EE" w14:textId="599406F6" w:rsidR="00F71DEC" w:rsidRPr="00F71DEC" w:rsidRDefault="00F71DEC" w:rsidP="00F71DEC">
      <w:pPr>
        <w:rPr>
          <w:sz w:val="18"/>
          <w:lang w:val="en-US"/>
        </w:rPr>
      </w:pPr>
    </w:p>
    <w:p w14:paraId="1EDBF6AB" w14:textId="7792B5CA" w:rsidR="00F71DEC" w:rsidRPr="00F71DEC" w:rsidRDefault="00F71DEC" w:rsidP="00F71DEC">
      <w:pPr>
        <w:rPr>
          <w:sz w:val="18"/>
          <w:lang w:val="en-US"/>
        </w:rPr>
      </w:pPr>
    </w:p>
    <w:p w14:paraId="368BFED1" w14:textId="56D1BDB5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C3F86C9" w:rsidR="00424D59" w:rsidRDefault="002901D4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3C22A9C8" wp14:editId="558B1E42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409629E9" w:rsidR="00F81E8D" w:rsidRPr="0052691F" w:rsidRDefault="00F56D59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r w:rsidRPr="0052691F">
                            <w:rPr>
                              <w:sz w:val="24"/>
                              <w:lang w:val="pl-PL"/>
                            </w:rPr>
                            <w:t>Kr</w:t>
                          </w:r>
                          <w:r w:rsidR="0052691F" w:rsidRPr="0052691F">
                            <w:rPr>
                              <w:sz w:val="24"/>
                              <w:lang w:val="pl-PL"/>
                            </w:rPr>
                            <w:t>uszywo</w:t>
                          </w:r>
                        </w:p>
                        <w:p w14:paraId="19297CC9" w14:textId="610392DF" w:rsidR="00C9646E" w:rsidRPr="0052691F" w:rsidRDefault="0052691F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 w:rsidRPr="0052691F">
                            <w:rPr>
                              <w:b/>
                              <w:lang w:val="pl-PL"/>
                            </w:rPr>
                            <w:t>ZAWARTOŚĆ DROBNYCH CZĄSTEK K</w:t>
                          </w:r>
                          <w:r>
                            <w:rPr>
                              <w:b/>
                              <w:lang w:val="pl-PL"/>
                            </w:rPr>
                            <w:t>RUSZYWA</w:t>
                          </w:r>
                        </w:p>
                        <w:p w14:paraId="3E9BD5E8" w14:textId="7B6A0629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D7B4DC7" w14:textId="6E63A0EF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52691F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52691F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52691F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409629E9" w:rsidR="00F81E8D" w:rsidRPr="0052691F" w:rsidRDefault="00F56D59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r w:rsidRPr="0052691F">
                      <w:rPr>
                        <w:sz w:val="24"/>
                        <w:lang w:val="pl-PL"/>
                      </w:rPr>
                      <w:t>Kr</w:t>
                    </w:r>
                    <w:r w:rsidR="0052691F" w:rsidRPr="0052691F">
                      <w:rPr>
                        <w:sz w:val="24"/>
                        <w:lang w:val="pl-PL"/>
                      </w:rPr>
                      <w:t>uszywo</w:t>
                    </w:r>
                  </w:p>
                  <w:p w14:paraId="19297CC9" w14:textId="610392DF" w:rsidR="00C9646E" w:rsidRPr="0052691F" w:rsidRDefault="0052691F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 w:rsidRPr="0052691F">
                      <w:rPr>
                        <w:b/>
                        <w:lang w:val="pl-PL"/>
                      </w:rPr>
                      <w:t>ZAWARTOŚĆ DROBNYCH CZĄSTEK K</w:t>
                    </w:r>
                    <w:r>
                      <w:rPr>
                        <w:b/>
                        <w:lang w:val="pl-PL"/>
                      </w:rPr>
                      <w:t>RUSZYWA</w:t>
                    </w:r>
                  </w:p>
                  <w:p w14:paraId="3E9BD5E8" w14:textId="7B6A0629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D7B4DC7" w14:textId="6E63A0EF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52691F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52691F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52691F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BEDAFE" w14:textId="77777777" w:rsidR="002901D4" w:rsidRPr="00C9646E" w:rsidRDefault="002901D4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7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41F23"/>
    <w:rsid w:val="00056E1C"/>
    <w:rsid w:val="00066D31"/>
    <w:rsid w:val="000B0022"/>
    <w:rsid w:val="000B686B"/>
    <w:rsid w:val="000D7403"/>
    <w:rsid w:val="00170613"/>
    <w:rsid w:val="00193356"/>
    <w:rsid w:val="002078D7"/>
    <w:rsid w:val="00215B64"/>
    <w:rsid w:val="00242DC1"/>
    <w:rsid w:val="00250D3F"/>
    <w:rsid w:val="00252172"/>
    <w:rsid w:val="002550C7"/>
    <w:rsid w:val="002665C0"/>
    <w:rsid w:val="002901D4"/>
    <w:rsid w:val="00292538"/>
    <w:rsid w:val="002B3022"/>
    <w:rsid w:val="002B3BC4"/>
    <w:rsid w:val="002D244A"/>
    <w:rsid w:val="002F4A3B"/>
    <w:rsid w:val="00301A1B"/>
    <w:rsid w:val="0037546E"/>
    <w:rsid w:val="003A4DA5"/>
    <w:rsid w:val="003B0EDC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4C5FA4"/>
    <w:rsid w:val="0052691F"/>
    <w:rsid w:val="005322FB"/>
    <w:rsid w:val="0057251E"/>
    <w:rsid w:val="005B2070"/>
    <w:rsid w:val="005B696A"/>
    <w:rsid w:val="005C41EA"/>
    <w:rsid w:val="005C5828"/>
    <w:rsid w:val="005F076F"/>
    <w:rsid w:val="005F0C86"/>
    <w:rsid w:val="005F60FC"/>
    <w:rsid w:val="005F6DCD"/>
    <w:rsid w:val="0061768D"/>
    <w:rsid w:val="006376C8"/>
    <w:rsid w:val="00641BDA"/>
    <w:rsid w:val="00673B3C"/>
    <w:rsid w:val="006C68E3"/>
    <w:rsid w:val="00704354"/>
    <w:rsid w:val="00711264"/>
    <w:rsid w:val="0072642C"/>
    <w:rsid w:val="00734F37"/>
    <w:rsid w:val="00747A35"/>
    <w:rsid w:val="00775AA6"/>
    <w:rsid w:val="00794361"/>
    <w:rsid w:val="007A7F60"/>
    <w:rsid w:val="007B1BFC"/>
    <w:rsid w:val="007C7309"/>
    <w:rsid w:val="00813D57"/>
    <w:rsid w:val="008324D8"/>
    <w:rsid w:val="0084035F"/>
    <w:rsid w:val="00840B1F"/>
    <w:rsid w:val="00840D0E"/>
    <w:rsid w:val="00842DE3"/>
    <w:rsid w:val="00853B2F"/>
    <w:rsid w:val="0086028B"/>
    <w:rsid w:val="00876814"/>
    <w:rsid w:val="0089566C"/>
    <w:rsid w:val="008B50E3"/>
    <w:rsid w:val="008E0DF9"/>
    <w:rsid w:val="008F582D"/>
    <w:rsid w:val="008F6378"/>
    <w:rsid w:val="009178A1"/>
    <w:rsid w:val="00961005"/>
    <w:rsid w:val="009645F3"/>
    <w:rsid w:val="009F5BEC"/>
    <w:rsid w:val="00A06564"/>
    <w:rsid w:val="00A13C08"/>
    <w:rsid w:val="00A54D61"/>
    <w:rsid w:val="00A61B86"/>
    <w:rsid w:val="00A62171"/>
    <w:rsid w:val="00A82844"/>
    <w:rsid w:val="00A95E38"/>
    <w:rsid w:val="00AB5203"/>
    <w:rsid w:val="00AF7967"/>
    <w:rsid w:val="00B03E35"/>
    <w:rsid w:val="00B22A9D"/>
    <w:rsid w:val="00B672CB"/>
    <w:rsid w:val="00B96E80"/>
    <w:rsid w:val="00BB3AB5"/>
    <w:rsid w:val="00BB6185"/>
    <w:rsid w:val="00BC169B"/>
    <w:rsid w:val="00BD7C3A"/>
    <w:rsid w:val="00C22C28"/>
    <w:rsid w:val="00C2606C"/>
    <w:rsid w:val="00C62491"/>
    <w:rsid w:val="00C662A1"/>
    <w:rsid w:val="00C85CD2"/>
    <w:rsid w:val="00C9646E"/>
    <w:rsid w:val="00CE226F"/>
    <w:rsid w:val="00CE6FBC"/>
    <w:rsid w:val="00D06177"/>
    <w:rsid w:val="00D347DF"/>
    <w:rsid w:val="00D466EA"/>
    <w:rsid w:val="00D52ED2"/>
    <w:rsid w:val="00D637CC"/>
    <w:rsid w:val="00D963BB"/>
    <w:rsid w:val="00DA4C03"/>
    <w:rsid w:val="00E20642"/>
    <w:rsid w:val="00E434EF"/>
    <w:rsid w:val="00E52A22"/>
    <w:rsid w:val="00E714C9"/>
    <w:rsid w:val="00E71C0B"/>
    <w:rsid w:val="00E737C5"/>
    <w:rsid w:val="00E754AC"/>
    <w:rsid w:val="00E97DF8"/>
    <w:rsid w:val="00EB38F0"/>
    <w:rsid w:val="00F31419"/>
    <w:rsid w:val="00F56B10"/>
    <w:rsid w:val="00F56D59"/>
    <w:rsid w:val="00F71DEC"/>
    <w:rsid w:val="00F81E8D"/>
    <w:rsid w:val="00FA0628"/>
    <w:rsid w:val="00FD3DF6"/>
    <w:rsid w:val="00FD5633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06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B6F5-995F-48E8-8049-A35256CC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2023-05-29T13:26:00Z</dcterms:created>
  <dcterms:modified xsi:type="dcterms:W3CDTF">2023-05-29T13:37:00Z</dcterms:modified>
</cp:coreProperties>
</file>